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outlineLvl w:val="9"/>
        <w:rPr>
          <w:rFonts w:hint="eastAsia" w:ascii="仿宋" w:hAnsi="仿宋" w:eastAsia="仿宋" w:cs="仿宋"/>
          <w:b w:val="0"/>
          <w:bCs/>
          <w:caps w:val="0"/>
          <w:color w:val="000000"/>
          <w:spacing w:val="0"/>
          <w:kern w:val="44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/>
          <w:caps w:val="0"/>
          <w:color w:val="000000"/>
          <w:spacing w:val="0"/>
          <w:kern w:val="44"/>
          <w:sz w:val="28"/>
          <w:szCs w:val="28"/>
        </w:rPr>
        <w:t>附件</w:t>
      </w:r>
      <w:r>
        <w:rPr>
          <w:rFonts w:hint="eastAsia" w:ascii="仿宋" w:hAnsi="仿宋" w:eastAsia="仿宋" w:cs="仿宋"/>
          <w:b w:val="0"/>
          <w:bCs/>
          <w:caps w:val="0"/>
          <w:color w:val="000000"/>
          <w:spacing w:val="0"/>
          <w:kern w:val="44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b w:val="0"/>
          <w:bCs/>
          <w:caps w:val="0"/>
          <w:color w:val="000000"/>
          <w:spacing w:val="0"/>
          <w:kern w:val="44"/>
          <w:sz w:val="28"/>
          <w:szCs w:val="28"/>
        </w:rPr>
        <w:t>:</w:t>
      </w:r>
    </w:p>
    <w:p>
      <w:pPr>
        <w:pStyle w:val="2"/>
        <w:spacing w:before="0" w:after="0"/>
        <w:jc w:val="center"/>
        <w:rPr>
          <w:rFonts w:hint="eastAsia" w:ascii="宋体" w:hAnsi="宋体" w:eastAsia="宋体"/>
          <w:lang w:val="zh-CN"/>
        </w:rPr>
      </w:pPr>
    </w:p>
    <w:p>
      <w:pPr>
        <w:pStyle w:val="2"/>
        <w:spacing w:before="0" w:after="0"/>
        <w:jc w:val="center"/>
        <w:rPr>
          <w:rFonts w:hint="eastAsia" w:ascii="宋体" w:hAnsi="宋体" w:eastAsia="宋体"/>
          <w:lang w:val="zh-CN"/>
        </w:rPr>
      </w:pPr>
      <w:r>
        <w:rPr>
          <w:rFonts w:hint="eastAsia" w:ascii="宋体" w:hAnsi="宋体" w:eastAsia="宋体"/>
          <w:lang w:val="zh-CN"/>
        </w:rPr>
        <w:t>报 价 表</w:t>
      </w:r>
    </w:p>
    <w:p>
      <w:pPr>
        <w:rPr>
          <w:rFonts w:hint="eastAsia"/>
          <w:lang w:val="zh-CN"/>
        </w:rPr>
      </w:pPr>
    </w:p>
    <w:p>
      <w:pPr>
        <w:ind w:left="0" w:leftChars="0" w:firstLine="218" w:firstLineChars="104"/>
        <w:rPr>
          <w:rFonts w:hint="eastAsia" w:ascii="宋体" w:hAnsi="宋体" w:eastAsia="宋体"/>
          <w:lang w:val="en-US" w:eastAsia="zh-CN"/>
        </w:rPr>
      </w:pPr>
      <w:r>
        <w:rPr>
          <w:rFonts w:hint="eastAsia" w:ascii="宋体" w:hAnsi="宋体" w:eastAsia="宋体"/>
          <w:lang w:val="en-US" w:eastAsia="zh-CN"/>
        </w:rPr>
        <w:t>项目名称：</w:t>
      </w:r>
      <w:r>
        <w:rPr>
          <w:rFonts w:hint="eastAsia" w:ascii="宋体" w:hAnsi="宋体" w:eastAsia="宋体" w:cs="宋体"/>
          <w:b w:val="0"/>
          <w:bCs/>
          <w:caps w:val="0"/>
          <w:color w:val="000000"/>
          <w:spacing w:val="0"/>
          <w:kern w:val="44"/>
          <w:sz w:val="24"/>
          <w:szCs w:val="24"/>
        </w:rPr>
        <w:t>阳江监狱2021年5月-2023年5月行政废旧物资处置项</w:t>
      </w:r>
      <w:r>
        <w:rPr>
          <w:rFonts w:hint="eastAsia" w:ascii="宋体" w:hAnsi="宋体" w:eastAsia="宋体" w:cs="宋体"/>
          <w:b w:val="0"/>
          <w:bCs/>
          <w:caps w:val="0"/>
          <w:color w:val="000000"/>
          <w:spacing w:val="0"/>
          <w:kern w:val="44"/>
          <w:sz w:val="24"/>
          <w:szCs w:val="24"/>
          <w:lang w:eastAsia="zh-CN"/>
        </w:rPr>
        <w:t>目</w:t>
      </w:r>
    </w:p>
    <w:p>
      <w:pPr>
        <w:pStyle w:val="14"/>
        <w:rPr>
          <w:rFonts w:hint="default"/>
          <w:lang w:val="en-US" w:eastAsia="zh-CN"/>
        </w:rPr>
      </w:pPr>
    </w:p>
    <w:tbl>
      <w:tblPr>
        <w:tblStyle w:val="9"/>
        <w:tblW w:w="8954" w:type="dxa"/>
        <w:jc w:val="center"/>
        <w:tblInd w:w="-9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1"/>
        <w:gridCol w:w="1394"/>
        <w:gridCol w:w="1568"/>
        <w:gridCol w:w="1656"/>
        <w:gridCol w:w="1882"/>
        <w:gridCol w:w="13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7" w:hRule="atLeast"/>
          <w:jc w:val="center"/>
        </w:trPr>
        <w:tc>
          <w:tcPr>
            <w:tcW w:w="114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序号</w:t>
            </w:r>
          </w:p>
        </w:tc>
        <w:tc>
          <w:tcPr>
            <w:tcW w:w="139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内容</w:t>
            </w:r>
          </w:p>
        </w:tc>
        <w:tc>
          <w:tcPr>
            <w:tcW w:w="156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数量</w:t>
            </w:r>
          </w:p>
        </w:tc>
        <w:tc>
          <w:tcPr>
            <w:tcW w:w="1656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评估价</w:t>
            </w:r>
          </w:p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（元）</w:t>
            </w:r>
          </w:p>
        </w:tc>
        <w:tc>
          <w:tcPr>
            <w:tcW w:w="1882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竞买人</w:t>
            </w:r>
            <w:r>
              <w:rPr>
                <w:rFonts w:hint="eastAsia" w:ascii="宋体" w:hAnsi="宋体"/>
                <w:b/>
                <w:szCs w:val="21"/>
              </w:rPr>
              <w:t>报价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（元）</w:t>
            </w:r>
          </w:p>
        </w:tc>
        <w:tc>
          <w:tcPr>
            <w:tcW w:w="1313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2" w:hRule="atLeast"/>
          <w:jc w:val="center"/>
        </w:trPr>
        <w:tc>
          <w:tcPr>
            <w:tcW w:w="114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1394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aps w:val="0"/>
                <w:color w:val="000000"/>
                <w:spacing w:val="0"/>
                <w:kern w:val="44"/>
                <w:sz w:val="24"/>
                <w:szCs w:val="24"/>
              </w:rPr>
              <w:t>阳江监狱2021年5月-2023年5月行政废旧物资处置项</w:t>
            </w:r>
            <w:r>
              <w:rPr>
                <w:rFonts w:hint="eastAsia" w:ascii="宋体" w:hAnsi="宋体" w:eastAsia="宋体" w:cs="宋体"/>
                <w:b w:val="0"/>
                <w:bCs/>
                <w:caps w:val="0"/>
                <w:color w:val="000000"/>
                <w:spacing w:val="0"/>
                <w:kern w:val="44"/>
                <w:sz w:val="24"/>
                <w:szCs w:val="24"/>
                <w:lang w:eastAsia="zh-CN"/>
              </w:rPr>
              <w:t>目</w:t>
            </w:r>
          </w:p>
        </w:tc>
        <w:tc>
          <w:tcPr>
            <w:tcW w:w="156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批</w:t>
            </w:r>
          </w:p>
        </w:tc>
        <w:tc>
          <w:tcPr>
            <w:tcW w:w="1656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9985</w:t>
            </w:r>
          </w:p>
        </w:tc>
        <w:tc>
          <w:tcPr>
            <w:tcW w:w="188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1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</w:tbl>
    <w:p>
      <w:pPr>
        <w:pStyle w:val="3"/>
      </w:pPr>
    </w:p>
    <w:p>
      <w:pPr>
        <w:spacing w:line="500" w:lineRule="exact"/>
        <w:rPr>
          <w:rFonts w:ascii="宋体" w:hAnsi="宋体"/>
          <w:b/>
          <w:spacing w:val="4"/>
          <w:szCs w:val="21"/>
        </w:rPr>
      </w:pPr>
      <w:r>
        <w:rPr>
          <w:rFonts w:hint="eastAsia" w:ascii="宋体" w:hAnsi="宋体"/>
          <w:b/>
          <w:spacing w:val="4"/>
          <w:szCs w:val="21"/>
        </w:rPr>
        <w:t>注：</w:t>
      </w:r>
    </w:p>
    <w:p>
      <w:pPr>
        <w:widowControl w:val="0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420" w:hanging="420"/>
        <w:jc w:val="both"/>
        <w:rPr>
          <w:rFonts w:asciiTheme="minorHAnsi" w:hAnsiTheme="minorHAnsi" w:eastAsiaTheme="minorEastAsia" w:cstheme="minorBidi"/>
          <w:b/>
          <w:bCs/>
          <w:color w:val="000000" w:themeColor="text1"/>
          <w:kern w:val="2"/>
          <w:sz w:val="21"/>
          <w:szCs w:val="21"/>
          <w:u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Theme="minorHAnsi" w:hAnsiTheme="minorHAnsi" w:eastAsiaTheme="minorEastAsia" w:cstheme="minorBidi"/>
          <w:b/>
          <w:bCs/>
          <w:color w:val="000000" w:themeColor="text1"/>
          <w:kern w:val="2"/>
          <w:sz w:val="21"/>
          <w:szCs w:val="21"/>
          <w:u w:val="single"/>
          <w:lang w:val="en-US" w:eastAsia="zh-CN" w:bidi="ar-SA"/>
          <w14:textFill>
            <w14:solidFill>
              <w14:schemeClr w14:val="tx1"/>
            </w14:solidFill>
          </w14:textFill>
        </w:rPr>
        <w:t>竞买人必须按报价表的格式填写，不得增加或删除表格内容。除单价、金额或项目要求填写的内容外，不得擅自改动报价表内容，</w:t>
      </w:r>
      <w:r>
        <w:rPr>
          <w:rFonts w:hint="eastAsia" w:asciiTheme="minorHAnsi" w:hAnsiTheme="minorHAnsi" w:eastAsiaTheme="minorEastAsia" w:cstheme="minorBidi"/>
          <w:b/>
          <w:bCs/>
          <w:color w:val="000000" w:themeColor="text1"/>
          <w:kern w:val="2"/>
          <w:sz w:val="21"/>
          <w:szCs w:val="21"/>
          <w:lang w:val="en-US" w:eastAsia="zh-CN" w:bidi="ar-SA"/>
          <w14:textFill>
            <w14:solidFill>
              <w14:schemeClr w14:val="tx1"/>
            </w14:solidFill>
          </w14:textFill>
        </w:rPr>
        <w:t>否则将有可能影响成交结果，不推荐为成交候选人</w:t>
      </w:r>
      <w:r>
        <w:rPr>
          <w:rFonts w:hint="eastAsia" w:asciiTheme="minorHAnsi" w:hAnsiTheme="minorHAnsi" w:eastAsiaTheme="minorEastAsia" w:cstheme="minorBidi"/>
          <w:b/>
          <w:bCs/>
          <w:color w:val="000000" w:themeColor="text1"/>
          <w:kern w:val="2"/>
          <w:sz w:val="21"/>
          <w:szCs w:val="21"/>
          <w:u w:val="none"/>
          <w:lang w:val="en-US" w:eastAsia="zh-CN" w:bidi="ar-SA"/>
          <w14:textFill>
            <w14:solidFill>
              <w14:schemeClr w14:val="tx1"/>
            </w14:solidFill>
          </w14:textFill>
        </w:rPr>
        <w:t>；</w:t>
      </w:r>
    </w:p>
    <w:p>
      <w:pPr>
        <w:widowControl w:val="0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420" w:hanging="420"/>
        <w:jc w:val="both"/>
        <w:rPr>
          <w:rFonts w:asciiTheme="minorHAnsi" w:hAnsiTheme="minorHAnsi" w:eastAsiaTheme="minorEastAsia" w:cstheme="minorBidi"/>
          <w:b/>
          <w:color w:val="000000" w:themeColor="text1"/>
          <w:kern w:val="2"/>
          <w:sz w:val="21"/>
          <w:szCs w:val="21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Theme="minorHAnsi" w:hAnsiTheme="minorHAnsi" w:eastAsiaTheme="minorEastAsia" w:cstheme="minorBidi"/>
          <w:b/>
          <w:color w:val="000000" w:themeColor="text1"/>
          <w:kern w:val="2"/>
          <w:sz w:val="21"/>
          <w:szCs w:val="21"/>
          <w:lang w:val="en-US" w:eastAsia="zh-CN" w:bidi="ar-SA"/>
          <w14:textFill>
            <w14:solidFill>
              <w14:schemeClr w14:val="tx1"/>
            </w14:solidFill>
          </w14:textFill>
        </w:rPr>
        <w:t>所有价格均系用人民币表示，单位为元，</w:t>
      </w:r>
      <w:r>
        <w:rPr>
          <w:rFonts w:hint="eastAsia" w:asciiTheme="minorHAnsi" w:hAnsiTheme="minorHAnsi" w:eastAsiaTheme="minorEastAsia" w:cstheme="minorBidi"/>
          <w:b/>
          <w:bCs/>
          <w:color w:val="000000" w:themeColor="text1"/>
          <w:kern w:val="2"/>
          <w:sz w:val="21"/>
          <w:szCs w:val="21"/>
          <w:lang w:val="en-US" w:eastAsia="zh-CN" w:bidi="ar-SA"/>
          <w14:textFill>
            <w14:solidFill>
              <w14:schemeClr w14:val="tx1"/>
            </w14:solidFill>
          </w14:textFill>
        </w:rPr>
        <w:t>均为含运输、装卸、税价；</w:t>
      </w:r>
    </w:p>
    <w:p>
      <w:pPr>
        <w:widowControl w:val="0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420" w:hanging="420"/>
        <w:jc w:val="both"/>
        <w:rPr>
          <w:rFonts w:asciiTheme="minorHAnsi" w:hAnsiTheme="minorHAnsi" w:eastAsiaTheme="minorEastAsia" w:cstheme="minorBidi"/>
          <w:b/>
          <w:color w:val="000000" w:themeColor="text1"/>
          <w:kern w:val="2"/>
          <w:sz w:val="21"/>
          <w:szCs w:val="21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Theme="minorHAnsi" w:hAnsiTheme="minorHAnsi" w:eastAsiaTheme="minorEastAsia" w:cstheme="minorBidi"/>
          <w:b/>
          <w:bCs/>
          <w:color w:val="000000" w:themeColor="text1"/>
          <w:kern w:val="2"/>
          <w:sz w:val="21"/>
          <w:szCs w:val="21"/>
          <w:lang w:val="en-US" w:eastAsia="zh-CN" w:bidi="ar-SA"/>
          <w14:textFill>
            <w14:solidFill>
              <w14:schemeClr w14:val="tx1"/>
            </w14:solidFill>
          </w14:textFill>
        </w:rPr>
        <w:t>竞买人报价低于评估价（不含）的为无效报价</w:t>
      </w:r>
      <w:r>
        <w:rPr>
          <w:rFonts w:hint="eastAsia" w:asciiTheme="minorHAnsi" w:hAnsiTheme="minorHAnsi" w:eastAsiaTheme="minorEastAsia" w:cstheme="minorBidi"/>
          <w:b/>
          <w:color w:val="000000" w:themeColor="text1"/>
          <w:kern w:val="2"/>
          <w:sz w:val="21"/>
          <w:szCs w:val="21"/>
          <w:lang w:val="en-US" w:eastAsia="zh-CN" w:bidi="ar-SA"/>
          <w14:textFill>
            <w14:solidFill>
              <w14:schemeClr w14:val="tx1"/>
            </w14:solidFill>
          </w14:textFill>
        </w:rPr>
        <w:t>。</w:t>
      </w:r>
    </w:p>
    <w:p>
      <w:pPr>
        <w:pageBreakBefore w:val="0"/>
        <w:kinsoku/>
        <w:wordWrap/>
        <w:overflowPunct/>
        <w:topLinePunct w:val="0"/>
        <w:bidi w:val="0"/>
        <w:spacing w:line="340" w:lineRule="exact"/>
        <w:ind w:left="0" w:leftChars="0" w:firstLine="418" w:firstLineChars="192"/>
        <w:jc w:val="right"/>
        <w:rPr>
          <w:rFonts w:hint="eastAsia" w:ascii="宋体" w:hAnsi="宋体"/>
          <w:spacing w:val="4"/>
          <w:szCs w:val="21"/>
        </w:rPr>
      </w:pPr>
    </w:p>
    <w:p>
      <w:pPr>
        <w:pageBreakBefore w:val="0"/>
        <w:kinsoku/>
        <w:wordWrap/>
        <w:overflowPunct/>
        <w:topLinePunct w:val="0"/>
        <w:bidi w:val="0"/>
        <w:spacing w:line="340" w:lineRule="exact"/>
        <w:ind w:left="0" w:leftChars="0" w:firstLine="418" w:firstLineChars="192"/>
        <w:jc w:val="right"/>
        <w:rPr>
          <w:rFonts w:hint="eastAsia" w:ascii="宋体" w:hAnsi="宋体"/>
          <w:spacing w:val="4"/>
          <w:szCs w:val="21"/>
        </w:rPr>
      </w:pPr>
    </w:p>
    <w:p>
      <w:pPr>
        <w:pageBreakBefore w:val="0"/>
        <w:kinsoku/>
        <w:wordWrap/>
        <w:overflowPunct/>
        <w:topLinePunct w:val="0"/>
        <w:bidi w:val="0"/>
        <w:spacing w:line="340" w:lineRule="exact"/>
        <w:ind w:left="0" w:leftChars="0" w:firstLine="418" w:firstLineChars="192"/>
        <w:jc w:val="center"/>
        <w:rPr>
          <w:rFonts w:ascii="宋体" w:hAnsi="宋体"/>
          <w:szCs w:val="21"/>
          <w:u w:val="single"/>
        </w:rPr>
      </w:pPr>
      <w:r>
        <w:rPr>
          <w:rFonts w:hint="eastAsia" w:ascii="宋体" w:hAnsi="宋体"/>
          <w:spacing w:val="4"/>
          <w:szCs w:val="21"/>
          <w:lang w:eastAsia="zh-CN"/>
        </w:rPr>
        <w:t>竞买人</w:t>
      </w:r>
      <w:r>
        <w:rPr>
          <w:rFonts w:hint="eastAsia" w:ascii="宋体" w:hAnsi="宋体"/>
          <w:spacing w:val="4"/>
          <w:szCs w:val="21"/>
        </w:rPr>
        <w:t>名称（</w:t>
      </w:r>
      <w:r>
        <w:rPr>
          <w:rFonts w:hint="eastAsia" w:ascii="宋体" w:hAnsi="宋体"/>
          <w:szCs w:val="21"/>
        </w:rPr>
        <w:t>单位盖</w:t>
      </w:r>
      <w:r>
        <w:rPr>
          <w:rFonts w:hint="eastAsia" w:ascii="宋体" w:hAnsi="宋体"/>
          <w:spacing w:val="4"/>
          <w:szCs w:val="21"/>
        </w:rPr>
        <w:t>公章）：</w:t>
      </w:r>
    </w:p>
    <w:p>
      <w:pPr>
        <w:pageBreakBefore w:val="0"/>
        <w:kinsoku/>
        <w:wordWrap/>
        <w:overflowPunct/>
        <w:topLinePunct w:val="0"/>
        <w:bidi w:val="0"/>
        <w:spacing w:beforeLines="50" w:line="340" w:lineRule="exact"/>
        <w:ind w:left="0" w:leftChars="0" w:firstLine="403" w:firstLineChars="192"/>
        <w:jc w:val="center"/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      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日期：     年   月   日</w:t>
      </w:r>
    </w:p>
    <w:p>
      <w:pPr>
        <w:spacing w:before="240"/>
        <w:ind w:left="1203" w:leftChars="114" w:hanging="964" w:hangingChars="400"/>
        <w:rPr>
          <w:rFonts w:hint="eastAsia" w:ascii="宋体" w:hAnsi="宋体" w:eastAsia="宋体" w:cs="Times New Roman"/>
          <w:b/>
          <w:bCs/>
          <w:sz w:val="24"/>
          <w:u w:val="single"/>
        </w:rPr>
      </w:pPr>
    </w:p>
    <w:p>
      <w:pPr>
        <w:spacing w:before="240"/>
        <w:ind w:left="1203" w:leftChars="114" w:hanging="964" w:hangingChars="400"/>
        <w:rPr>
          <w:rFonts w:hint="eastAsia" w:ascii="宋体" w:hAnsi="宋体" w:eastAsia="宋体" w:cs="Times New Roman"/>
          <w:b/>
          <w:bCs/>
          <w:sz w:val="24"/>
          <w:u w:val="single"/>
        </w:rPr>
      </w:pPr>
    </w:p>
    <w:p>
      <w:pPr>
        <w:spacing w:before="240"/>
        <w:ind w:left="1203" w:leftChars="114" w:hanging="964" w:hangingChars="400"/>
        <w:rPr>
          <w:rFonts w:hint="eastAsia" w:ascii="宋体" w:hAnsi="宋体" w:eastAsia="宋体" w:cs="Times New Roman"/>
          <w:b/>
          <w:bCs/>
          <w:sz w:val="24"/>
          <w:u w:val="single"/>
        </w:rPr>
      </w:pPr>
    </w:p>
    <w:p>
      <w:pPr>
        <w:spacing w:before="240"/>
        <w:ind w:left="1203" w:leftChars="114" w:hanging="964" w:hangingChars="400"/>
        <w:rPr>
          <w:rFonts w:hint="eastAsia" w:ascii="宋体" w:hAnsi="宋体" w:eastAsia="宋体" w:cs="Times New Roman"/>
          <w:b/>
          <w:bCs/>
          <w:sz w:val="24"/>
          <w:u w:val="single"/>
        </w:rPr>
      </w:pPr>
    </w:p>
    <w:p>
      <w:pPr>
        <w:spacing w:before="240"/>
        <w:ind w:left="1203" w:leftChars="114" w:hanging="964" w:hangingChars="400"/>
        <w:rPr>
          <w:rFonts w:hint="eastAsia" w:ascii="宋体" w:hAnsi="宋体" w:eastAsia="宋体" w:cs="Times New Roman"/>
          <w:b/>
          <w:bCs/>
          <w:sz w:val="24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outlineLvl w:val="9"/>
        <w:rPr>
          <w:rFonts w:hint="eastAsia" w:ascii="仿宋" w:hAnsi="仿宋" w:eastAsia="仿宋" w:cs="仿宋"/>
          <w:b w:val="0"/>
          <w:bCs/>
          <w:caps w:val="0"/>
          <w:color w:val="000000"/>
          <w:spacing w:val="0"/>
          <w:kern w:val="44"/>
          <w:sz w:val="28"/>
          <w:szCs w:val="28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19083E"/>
    <w:multiLevelType w:val="multilevel"/>
    <w:tmpl w:val="6E19083E"/>
    <w:lvl w:ilvl="0" w:tentative="0">
      <w:start w:val="1"/>
      <w:numFmt w:val="decimal"/>
      <w:lvlText w:val="%1."/>
      <w:lvlJc w:val="left"/>
      <w:pPr>
        <w:ind w:left="420" w:hanging="420"/>
      </w:pPr>
      <w:rPr>
        <w:rFonts w:ascii="宋体" w:hAnsi="宋体" w:eastAsia="宋体"/>
        <w:b/>
        <w:sz w:val="21"/>
        <w:szCs w:val="21"/>
      </w:rPr>
    </w:lvl>
    <w:lvl w:ilvl="1" w:tentative="0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F4690A"/>
    <w:rsid w:val="01FE33B7"/>
    <w:rsid w:val="032A0DB1"/>
    <w:rsid w:val="05F4690A"/>
    <w:rsid w:val="0D183D15"/>
    <w:rsid w:val="0D6F7888"/>
    <w:rsid w:val="0DF771D6"/>
    <w:rsid w:val="116C6CE9"/>
    <w:rsid w:val="12C91225"/>
    <w:rsid w:val="166300B0"/>
    <w:rsid w:val="1A6314CE"/>
    <w:rsid w:val="1FC338F0"/>
    <w:rsid w:val="243B49DE"/>
    <w:rsid w:val="28B02EFA"/>
    <w:rsid w:val="29F45F14"/>
    <w:rsid w:val="2AAB07AF"/>
    <w:rsid w:val="38CC76A8"/>
    <w:rsid w:val="3CDA5156"/>
    <w:rsid w:val="3FAF1293"/>
    <w:rsid w:val="44A70564"/>
    <w:rsid w:val="4AC85ED4"/>
    <w:rsid w:val="58234531"/>
    <w:rsid w:val="5C270153"/>
    <w:rsid w:val="624F3476"/>
    <w:rsid w:val="64D74939"/>
    <w:rsid w:val="66993922"/>
    <w:rsid w:val="673E14D3"/>
    <w:rsid w:val="67800A19"/>
    <w:rsid w:val="67C450FD"/>
    <w:rsid w:val="68972F5F"/>
    <w:rsid w:val="6CAF01BD"/>
    <w:rsid w:val="6FC410FA"/>
    <w:rsid w:val="7B5F5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next w:val="1"/>
    <w:qFormat/>
    <w:uiPriority w:val="0"/>
    <w:pPr>
      <w:keepNext/>
      <w:keepLines/>
      <w:widowControl/>
      <w:adjustRightInd w:val="0"/>
      <w:snapToGrid w:val="0"/>
      <w:spacing w:line="360" w:lineRule="auto"/>
      <w:jc w:val="center"/>
      <w:outlineLvl w:val="1"/>
    </w:pPr>
    <w:rPr>
      <w:rFonts w:ascii="宋体" w:hAnsi="Arial" w:eastAsiaTheme="minorEastAsia" w:cstheme="minorBidi"/>
      <w:b/>
      <w:kern w:val="0"/>
      <w:sz w:val="32"/>
      <w:szCs w:val="20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qFormat/>
    <w:uiPriority w:val="0"/>
    <w:pPr>
      <w:widowControl w:val="0"/>
      <w:tabs>
        <w:tab w:val="left" w:pos="562"/>
        <w:tab w:val="left" w:pos="3372"/>
        <w:tab w:val="left" w:pos="3653"/>
      </w:tabs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paragraph" w:styleId="4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FollowedHyperlink"/>
    <w:basedOn w:val="5"/>
    <w:qFormat/>
    <w:uiPriority w:val="0"/>
    <w:rPr>
      <w:color w:val="000000"/>
      <w:u w:val="none"/>
    </w:rPr>
  </w:style>
  <w:style w:type="character" w:styleId="7">
    <w:name w:val="Hyperlink"/>
    <w:basedOn w:val="5"/>
    <w:qFormat/>
    <w:uiPriority w:val="0"/>
    <w:rPr>
      <w:color w:val="000000"/>
      <w:u w:val="none"/>
    </w:rPr>
  </w:style>
  <w:style w:type="table" w:styleId="9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0">
    <w:name w:val="hover"/>
    <w:basedOn w:val="5"/>
    <w:qFormat/>
    <w:uiPriority w:val="0"/>
    <w:rPr>
      <w:shd w:val="clear" w:fill="FF0000"/>
    </w:rPr>
  </w:style>
  <w:style w:type="character" w:customStyle="1" w:styleId="11">
    <w:name w:val="first-child"/>
    <w:basedOn w:val="5"/>
    <w:qFormat/>
    <w:uiPriority w:val="0"/>
  </w:style>
  <w:style w:type="character" w:customStyle="1" w:styleId="12">
    <w:name w:val="layui-this"/>
    <w:basedOn w:val="5"/>
    <w:qFormat/>
    <w:uiPriority w:val="0"/>
    <w:rPr>
      <w:bdr w:val="single" w:color="EEEEEE" w:sz="6" w:space="0"/>
      <w:shd w:val="clear" w:fill="FFFFFF"/>
    </w:rPr>
  </w:style>
  <w:style w:type="paragraph" w:customStyle="1" w:styleId="13">
    <w:name w:val="xl22"/>
    <w:qFormat/>
    <w:uiPriority w:val="0"/>
    <w:pPr>
      <w:widowControl/>
      <w:spacing w:before="100" w:beforeAutospacing="1" w:after="100" w:afterAutospacing="1"/>
      <w:jc w:val="center"/>
    </w:pPr>
    <w:rPr>
      <w:rFonts w:hint="eastAsia" w:ascii="Arial Unicode MS" w:hAnsi="Arial Unicode MS" w:eastAsia="Arial Unicode MS" w:cs="Arial Unicode MS"/>
      <w:kern w:val="0"/>
      <w:sz w:val="24"/>
      <w:szCs w:val="24"/>
      <w:lang w:val="en-US" w:eastAsia="zh-CN" w:bidi="ar-SA"/>
    </w:rPr>
  </w:style>
  <w:style w:type="paragraph" w:customStyle="1" w:styleId="14">
    <w:name w:val="_Style 3"/>
    <w:qFormat/>
    <w:uiPriority w:val="0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0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阳江监狱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2024-01-12T02:46:00Z</dcterms:created>
  <dc:creator>石伟强</dc:creator>
  <cp:lastModifiedBy>石伟强</cp:lastModifiedBy>
  <dcterms:modified xsi:type="dcterms:W3CDTF">2024-01-26T00:01:17Z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